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3476DC" w14:textId="77777777" w:rsidR="000B45C1" w:rsidRDefault="000B45C1" w:rsidP="001853CC">
      <w:pPr>
        <w:spacing w:line="480" w:lineRule="auto"/>
        <w:jc w:val="center"/>
        <w:rPr>
          <w:rFonts w:ascii="Times New Roman" w:hAnsi="Times New Roman" w:cs="Times New Roman"/>
          <w:b/>
          <w:sz w:val="24"/>
          <w:szCs w:val="24"/>
        </w:rPr>
      </w:pPr>
    </w:p>
    <w:p w14:paraId="5DC09383" w14:textId="77777777" w:rsidR="000B45C1" w:rsidRDefault="000B45C1" w:rsidP="001853CC">
      <w:pPr>
        <w:spacing w:line="480" w:lineRule="auto"/>
        <w:jc w:val="center"/>
        <w:rPr>
          <w:rFonts w:ascii="Times New Roman" w:hAnsi="Times New Roman" w:cs="Times New Roman"/>
          <w:b/>
          <w:sz w:val="24"/>
          <w:szCs w:val="24"/>
        </w:rPr>
      </w:pPr>
    </w:p>
    <w:p w14:paraId="3FE7EE45" w14:textId="77777777" w:rsidR="000B45C1" w:rsidRDefault="000B45C1" w:rsidP="001853CC">
      <w:pPr>
        <w:spacing w:line="480" w:lineRule="auto"/>
        <w:jc w:val="center"/>
        <w:rPr>
          <w:rFonts w:ascii="Times New Roman" w:hAnsi="Times New Roman" w:cs="Times New Roman"/>
          <w:b/>
          <w:sz w:val="24"/>
          <w:szCs w:val="24"/>
        </w:rPr>
      </w:pPr>
    </w:p>
    <w:p w14:paraId="3FAC9333" w14:textId="77777777" w:rsidR="000B45C1" w:rsidRDefault="000B45C1" w:rsidP="001853CC">
      <w:pPr>
        <w:spacing w:line="480" w:lineRule="auto"/>
        <w:jc w:val="center"/>
        <w:rPr>
          <w:rFonts w:ascii="Times New Roman" w:hAnsi="Times New Roman" w:cs="Times New Roman"/>
          <w:b/>
          <w:sz w:val="24"/>
          <w:szCs w:val="24"/>
        </w:rPr>
      </w:pPr>
    </w:p>
    <w:p w14:paraId="5A97E5F7" w14:textId="77777777" w:rsidR="000B45C1" w:rsidRDefault="000B45C1" w:rsidP="001853CC">
      <w:pPr>
        <w:spacing w:line="480" w:lineRule="auto"/>
        <w:jc w:val="center"/>
        <w:rPr>
          <w:rFonts w:ascii="Times New Roman" w:hAnsi="Times New Roman" w:cs="Times New Roman"/>
          <w:b/>
          <w:sz w:val="24"/>
          <w:szCs w:val="24"/>
        </w:rPr>
      </w:pPr>
      <w:bookmarkStart w:id="0" w:name="_GoBack"/>
      <w:bookmarkEnd w:id="0"/>
    </w:p>
    <w:p w14:paraId="14255178" w14:textId="057DD009" w:rsidR="001853CC" w:rsidRPr="000B45C1" w:rsidRDefault="001853CC" w:rsidP="001853CC">
      <w:pPr>
        <w:spacing w:line="480" w:lineRule="auto"/>
        <w:jc w:val="center"/>
        <w:rPr>
          <w:rFonts w:ascii="Times New Roman" w:hAnsi="Times New Roman" w:cs="Times New Roman"/>
          <w:sz w:val="24"/>
          <w:szCs w:val="24"/>
        </w:rPr>
      </w:pPr>
      <w:r w:rsidRPr="000B45C1">
        <w:rPr>
          <w:rFonts w:ascii="Times New Roman" w:hAnsi="Times New Roman" w:cs="Times New Roman"/>
          <w:sz w:val="24"/>
          <w:szCs w:val="24"/>
        </w:rPr>
        <w:t>ADT Analysis</w:t>
      </w:r>
    </w:p>
    <w:p w14:paraId="46A29B9F" w14:textId="77D76A3B" w:rsidR="001853CC" w:rsidRPr="000B45C1" w:rsidRDefault="001853CC" w:rsidP="001853CC">
      <w:pPr>
        <w:spacing w:line="480" w:lineRule="auto"/>
        <w:jc w:val="center"/>
        <w:rPr>
          <w:rFonts w:ascii="Times New Roman" w:hAnsi="Times New Roman" w:cs="Times New Roman"/>
          <w:sz w:val="24"/>
          <w:szCs w:val="24"/>
        </w:rPr>
      </w:pPr>
      <w:r w:rsidRPr="000B45C1">
        <w:rPr>
          <w:rFonts w:ascii="Times New Roman" w:hAnsi="Times New Roman" w:cs="Times New Roman"/>
          <w:sz w:val="24"/>
          <w:szCs w:val="24"/>
        </w:rPr>
        <w:t>Name</w:t>
      </w:r>
    </w:p>
    <w:p w14:paraId="1E134495" w14:textId="2A65851C" w:rsidR="001853CC" w:rsidRPr="000B45C1" w:rsidRDefault="001853CC" w:rsidP="001853CC">
      <w:pPr>
        <w:spacing w:line="480" w:lineRule="auto"/>
        <w:jc w:val="center"/>
        <w:rPr>
          <w:rFonts w:ascii="Times New Roman" w:hAnsi="Times New Roman" w:cs="Times New Roman"/>
          <w:sz w:val="24"/>
          <w:szCs w:val="24"/>
        </w:rPr>
      </w:pPr>
      <w:r w:rsidRPr="000B45C1">
        <w:rPr>
          <w:rFonts w:ascii="Times New Roman" w:hAnsi="Times New Roman" w:cs="Times New Roman"/>
          <w:sz w:val="24"/>
          <w:szCs w:val="24"/>
        </w:rPr>
        <w:t>Institution</w:t>
      </w:r>
    </w:p>
    <w:p w14:paraId="13B03E4B" w14:textId="750665BA" w:rsidR="001853CC" w:rsidRPr="000B45C1" w:rsidRDefault="001853CC" w:rsidP="001853CC">
      <w:pPr>
        <w:spacing w:line="480" w:lineRule="auto"/>
        <w:jc w:val="center"/>
        <w:rPr>
          <w:rFonts w:ascii="Times New Roman" w:hAnsi="Times New Roman" w:cs="Times New Roman"/>
          <w:sz w:val="24"/>
          <w:szCs w:val="24"/>
        </w:rPr>
      </w:pPr>
      <w:r w:rsidRPr="000B45C1">
        <w:rPr>
          <w:rFonts w:ascii="Times New Roman" w:hAnsi="Times New Roman" w:cs="Times New Roman"/>
          <w:sz w:val="24"/>
          <w:szCs w:val="24"/>
        </w:rPr>
        <w:t>Date</w:t>
      </w:r>
    </w:p>
    <w:p w14:paraId="50207205" w14:textId="77777777" w:rsidR="001853CC" w:rsidRDefault="001853CC">
      <w:pPr>
        <w:rPr>
          <w:rFonts w:ascii="Times New Roman" w:hAnsi="Times New Roman" w:cs="Times New Roman"/>
          <w:b/>
          <w:sz w:val="24"/>
          <w:szCs w:val="24"/>
        </w:rPr>
      </w:pPr>
      <w:r>
        <w:rPr>
          <w:rFonts w:ascii="Times New Roman" w:hAnsi="Times New Roman" w:cs="Times New Roman"/>
          <w:b/>
          <w:sz w:val="24"/>
          <w:szCs w:val="24"/>
        </w:rPr>
        <w:br w:type="page"/>
      </w:r>
    </w:p>
    <w:p w14:paraId="1BE91F57" w14:textId="76B31B04" w:rsidR="007235F3" w:rsidRPr="00845934" w:rsidRDefault="00446BF7" w:rsidP="00845934">
      <w:pPr>
        <w:spacing w:line="480" w:lineRule="auto"/>
        <w:rPr>
          <w:rFonts w:ascii="Times New Roman" w:hAnsi="Times New Roman" w:cs="Times New Roman"/>
          <w:b/>
          <w:sz w:val="24"/>
          <w:szCs w:val="24"/>
        </w:rPr>
      </w:pPr>
      <w:r w:rsidRPr="00845934">
        <w:rPr>
          <w:rFonts w:ascii="Times New Roman" w:hAnsi="Times New Roman" w:cs="Times New Roman"/>
          <w:b/>
          <w:sz w:val="24"/>
          <w:szCs w:val="24"/>
        </w:rPr>
        <w:lastRenderedPageBreak/>
        <w:t>Analysis of ADT Company using Porter’s Five Forces</w:t>
      </w:r>
    </w:p>
    <w:p w14:paraId="674AE1E9" w14:textId="01BFE411" w:rsidR="00B048DF" w:rsidRDefault="00446BF7"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 xml:space="preserve">Typically, the model was developed by Michael Porter as a </w:t>
      </w:r>
      <w:r w:rsidR="00A10FDA" w:rsidRPr="00845934">
        <w:rPr>
          <w:rFonts w:ascii="Times New Roman" w:hAnsi="Times New Roman" w:cs="Times New Roman"/>
          <w:sz w:val="24"/>
          <w:szCs w:val="24"/>
        </w:rPr>
        <w:t>strategic management tool useful in determining the competitive edge of an industry. Therefore, concerning the five forces identified in the model as well as the strengths play an integral role of helping the strategic planners for understanding the inherent profitability in a certain industry.</w:t>
      </w:r>
      <w:r w:rsidR="00013ADB" w:rsidRPr="00845934">
        <w:rPr>
          <w:rFonts w:ascii="Times New Roman" w:hAnsi="Times New Roman" w:cs="Times New Roman"/>
          <w:sz w:val="24"/>
          <w:szCs w:val="24"/>
        </w:rPr>
        <w:t xml:space="preserve"> Notably, the strengths realized vary in every industry which have distinctive features in respect of not only profitability potential but also attractiveness</w:t>
      </w:r>
      <w:r w:rsidR="00AA5ACC">
        <w:rPr>
          <w:rFonts w:ascii="Times New Roman" w:hAnsi="Times New Roman" w:cs="Times New Roman"/>
          <w:sz w:val="24"/>
          <w:szCs w:val="24"/>
        </w:rPr>
        <w:t xml:space="preserve"> (Car</w:t>
      </w:r>
      <w:r w:rsidR="001853CC">
        <w:rPr>
          <w:rFonts w:ascii="Times New Roman" w:hAnsi="Times New Roman" w:cs="Times New Roman"/>
          <w:sz w:val="24"/>
          <w:szCs w:val="24"/>
        </w:rPr>
        <w:t>raher, 2018)</w:t>
      </w:r>
      <w:r w:rsidR="00013ADB" w:rsidRPr="00845934">
        <w:rPr>
          <w:rFonts w:ascii="Times New Roman" w:hAnsi="Times New Roman" w:cs="Times New Roman"/>
          <w:sz w:val="24"/>
          <w:szCs w:val="24"/>
        </w:rPr>
        <w:t xml:space="preserve">. Therefore, the Porter’s five forces concerning ADT company are as follows; First, new entrant threats. To add, the economies of scale in which ADT carry its operations posses a difficulty </w:t>
      </w:r>
      <w:r w:rsidR="00845934" w:rsidRPr="00845934">
        <w:rPr>
          <w:rFonts w:ascii="Times New Roman" w:hAnsi="Times New Roman" w:cs="Times New Roman"/>
          <w:sz w:val="24"/>
          <w:szCs w:val="24"/>
        </w:rPr>
        <w:t>to achieve</w:t>
      </w:r>
      <w:r w:rsidR="00013ADB" w:rsidRPr="00845934">
        <w:rPr>
          <w:rFonts w:ascii="Times New Roman" w:hAnsi="Times New Roman" w:cs="Times New Roman"/>
          <w:sz w:val="24"/>
          <w:szCs w:val="24"/>
        </w:rPr>
        <w:t xml:space="preserve">. </w:t>
      </w:r>
    </w:p>
    <w:p w14:paraId="54035483" w14:textId="319F080F" w:rsidR="00B048DF" w:rsidRDefault="00845934"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Contextually</w:t>
      </w:r>
      <w:r w:rsidR="00013ADB" w:rsidRPr="00845934">
        <w:rPr>
          <w:rFonts w:ascii="Times New Roman" w:hAnsi="Times New Roman" w:cs="Times New Roman"/>
          <w:sz w:val="24"/>
          <w:szCs w:val="24"/>
        </w:rPr>
        <w:t xml:space="preserve">, </w:t>
      </w:r>
      <w:r w:rsidR="00647DE1" w:rsidRPr="00845934">
        <w:rPr>
          <w:rFonts w:ascii="Times New Roman" w:hAnsi="Times New Roman" w:cs="Times New Roman"/>
          <w:sz w:val="24"/>
          <w:szCs w:val="24"/>
        </w:rPr>
        <w:t xml:space="preserve">it is simpler for </w:t>
      </w:r>
      <w:r w:rsidR="00B048DF" w:rsidRPr="00845934">
        <w:rPr>
          <w:rFonts w:ascii="Times New Roman" w:hAnsi="Times New Roman" w:cs="Times New Roman"/>
          <w:sz w:val="24"/>
          <w:szCs w:val="24"/>
        </w:rPr>
        <w:t>the players</w:t>
      </w:r>
      <w:r w:rsidR="00647DE1" w:rsidRPr="00845934">
        <w:rPr>
          <w:rFonts w:ascii="Times New Roman" w:hAnsi="Times New Roman" w:cs="Times New Roman"/>
          <w:sz w:val="24"/>
          <w:szCs w:val="24"/>
        </w:rPr>
        <w:t xml:space="preserve"> who produce large capacities to enjoy a cost advantage as well as weakening the forces of the new entrants. Second, Supplier’s bargaining power. There are numerous suppliers as compared to customers in the market in which ADT operates. In this light, the suppliers have small magnitude of controlling the prices making the bargaining power of the suppliers weaker</w:t>
      </w:r>
      <w:r w:rsidR="001853CC">
        <w:rPr>
          <w:rFonts w:ascii="Times New Roman" w:hAnsi="Times New Roman" w:cs="Times New Roman"/>
          <w:sz w:val="24"/>
          <w:szCs w:val="24"/>
        </w:rPr>
        <w:t xml:space="preserve"> (Boudreaux, 2020)</w:t>
      </w:r>
      <w:r w:rsidR="00647DE1" w:rsidRPr="00845934">
        <w:rPr>
          <w:rFonts w:ascii="Times New Roman" w:hAnsi="Times New Roman" w:cs="Times New Roman"/>
          <w:sz w:val="24"/>
          <w:szCs w:val="24"/>
        </w:rPr>
        <w:t xml:space="preserve">. Third, buyer’s bargaining power. </w:t>
      </w:r>
      <w:r w:rsidR="007D30DA" w:rsidRPr="00845934">
        <w:rPr>
          <w:rFonts w:ascii="Times New Roman" w:hAnsi="Times New Roman" w:cs="Times New Roman"/>
          <w:sz w:val="24"/>
          <w:szCs w:val="24"/>
        </w:rPr>
        <w:t>There are more suppliers than the firms that produce products. In this context, the buyers are having few firms in choosing to buy, thus, they do not have much power in controlling the prices.</w:t>
      </w:r>
      <w:r w:rsidR="00647DE1" w:rsidRPr="00845934">
        <w:rPr>
          <w:rFonts w:ascii="Times New Roman" w:hAnsi="Times New Roman" w:cs="Times New Roman"/>
          <w:sz w:val="24"/>
          <w:szCs w:val="24"/>
        </w:rPr>
        <w:t xml:space="preserve"> </w:t>
      </w:r>
    </w:p>
    <w:p w14:paraId="5963FD75" w14:textId="3EC98515" w:rsidR="00446BF7" w:rsidRPr="00845934" w:rsidRDefault="007D30DA"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 xml:space="preserve">Fourth, threat of substitute commodities. </w:t>
      </w:r>
      <w:r w:rsidR="003B17B5" w:rsidRPr="00845934">
        <w:rPr>
          <w:rFonts w:ascii="Times New Roman" w:hAnsi="Times New Roman" w:cs="Times New Roman"/>
          <w:sz w:val="24"/>
          <w:szCs w:val="24"/>
        </w:rPr>
        <w:t xml:space="preserve">The existing substitutes are few but of high-quality signifying that clients are less likely going to prefer the substitutes products. Finally, existing firms’ rivalry. To enlighten, the firms that are in the market will not make </w:t>
      </w:r>
      <w:r w:rsidR="007D61F2" w:rsidRPr="00845934">
        <w:rPr>
          <w:rFonts w:ascii="Times New Roman" w:hAnsi="Times New Roman" w:cs="Times New Roman"/>
          <w:sz w:val="24"/>
          <w:szCs w:val="24"/>
        </w:rPr>
        <w:t xml:space="preserve">unnoticed </w:t>
      </w:r>
      <w:r w:rsidR="003B17B5" w:rsidRPr="00845934">
        <w:rPr>
          <w:rFonts w:ascii="Times New Roman" w:hAnsi="Times New Roman" w:cs="Times New Roman"/>
          <w:sz w:val="24"/>
          <w:szCs w:val="24"/>
        </w:rPr>
        <w:t xml:space="preserve">moves </w:t>
      </w:r>
      <w:r w:rsidR="007D61F2" w:rsidRPr="00845934">
        <w:rPr>
          <w:rFonts w:ascii="Times New Roman" w:hAnsi="Times New Roman" w:cs="Times New Roman"/>
          <w:sz w:val="24"/>
          <w:szCs w:val="24"/>
        </w:rPr>
        <w:t>because of little competition.</w:t>
      </w:r>
    </w:p>
    <w:p w14:paraId="6BFF5BD3" w14:textId="77777777" w:rsidR="007D61F2" w:rsidRPr="00845934" w:rsidRDefault="007D61F2" w:rsidP="00845934">
      <w:pPr>
        <w:spacing w:line="480" w:lineRule="auto"/>
        <w:rPr>
          <w:rFonts w:ascii="Times New Roman" w:hAnsi="Times New Roman" w:cs="Times New Roman"/>
          <w:b/>
          <w:sz w:val="24"/>
          <w:szCs w:val="24"/>
        </w:rPr>
      </w:pPr>
      <w:r w:rsidRPr="00845934">
        <w:rPr>
          <w:rFonts w:ascii="Times New Roman" w:hAnsi="Times New Roman" w:cs="Times New Roman"/>
          <w:b/>
          <w:sz w:val="24"/>
          <w:szCs w:val="24"/>
        </w:rPr>
        <w:t>Analysis of the effectiveness of the Contingency Leadership Model</w:t>
      </w:r>
    </w:p>
    <w:p w14:paraId="6339A930" w14:textId="394541D1" w:rsidR="00B048DF" w:rsidRDefault="00A87341"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lastRenderedPageBreak/>
        <w:t xml:space="preserve">ADT is currently exploiting the contingency leadership model to achieve its well-defined goals and objectives. Besides, this theory was developed by Fiedler who believed that there is </w:t>
      </w:r>
      <w:r w:rsidR="00713FA7" w:rsidRPr="00845934">
        <w:rPr>
          <w:rFonts w:ascii="Times New Roman" w:hAnsi="Times New Roman" w:cs="Times New Roman"/>
          <w:sz w:val="24"/>
          <w:szCs w:val="24"/>
        </w:rPr>
        <w:t>no best</w:t>
      </w:r>
      <w:r w:rsidRPr="00845934">
        <w:rPr>
          <w:rFonts w:ascii="Times New Roman" w:hAnsi="Times New Roman" w:cs="Times New Roman"/>
          <w:sz w:val="24"/>
          <w:szCs w:val="24"/>
        </w:rPr>
        <w:t xml:space="preserve"> way of leading but instead, the effectiveness of the leader is grounded </w:t>
      </w:r>
      <w:r w:rsidR="00713FA7" w:rsidRPr="00845934">
        <w:rPr>
          <w:rFonts w:ascii="Times New Roman" w:hAnsi="Times New Roman" w:cs="Times New Roman"/>
          <w:sz w:val="24"/>
          <w:szCs w:val="24"/>
        </w:rPr>
        <w:t>on the situation.  Also, one of the concepts that ADT has emulated based on the contingency leadership model is ensuring that each leader has a capacity of identifying which management style will help in the achievement of the company’s goals depending on situation</w:t>
      </w:r>
      <w:r w:rsidR="001853CC">
        <w:rPr>
          <w:rFonts w:ascii="Times New Roman" w:hAnsi="Times New Roman" w:cs="Times New Roman"/>
          <w:sz w:val="24"/>
          <w:szCs w:val="24"/>
        </w:rPr>
        <w:t xml:space="preserve"> (Cheong, Yammarino &amp; Tsai, 2019)</w:t>
      </w:r>
      <w:r w:rsidR="00713FA7" w:rsidRPr="00845934">
        <w:rPr>
          <w:rFonts w:ascii="Times New Roman" w:hAnsi="Times New Roman" w:cs="Times New Roman"/>
          <w:sz w:val="24"/>
          <w:szCs w:val="24"/>
        </w:rPr>
        <w:t xml:space="preserve">. </w:t>
      </w:r>
    </w:p>
    <w:p w14:paraId="3E72A430" w14:textId="1ECE1649" w:rsidR="007D61F2" w:rsidRPr="00845934" w:rsidRDefault="00713FA7"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 xml:space="preserve">Still, </w:t>
      </w:r>
      <w:r w:rsidR="002C4E11" w:rsidRPr="00845934">
        <w:rPr>
          <w:rFonts w:ascii="Times New Roman" w:hAnsi="Times New Roman" w:cs="Times New Roman"/>
          <w:sz w:val="24"/>
          <w:szCs w:val="24"/>
        </w:rPr>
        <w:t>ADT company uses preferred co-worker scale ideology in measuring the leadership orientation of the manager. Nevertheless, this model has greatly helped ADT in understanding not only internal factors but also external factors influencing the optimal organizational structure such as the level of technology, leadership style including preparedness to strategic changes.</w:t>
      </w:r>
    </w:p>
    <w:p w14:paraId="4F11AD10" w14:textId="77777777" w:rsidR="00835005" w:rsidRPr="00845934" w:rsidRDefault="00835005" w:rsidP="00845934">
      <w:pPr>
        <w:spacing w:line="480" w:lineRule="auto"/>
        <w:rPr>
          <w:rFonts w:ascii="Times New Roman" w:hAnsi="Times New Roman" w:cs="Times New Roman"/>
          <w:b/>
          <w:sz w:val="24"/>
          <w:szCs w:val="24"/>
        </w:rPr>
      </w:pPr>
      <w:r w:rsidRPr="00845934">
        <w:rPr>
          <w:rFonts w:ascii="Times New Roman" w:hAnsi="Times New Roman" w:cs="Times New Roman"/>
          <w:b/>
          <w:sz w:val="24"/>
          <w:szCs w:val="24"/>
        </w:rPr>
        <w:t xml:space="preserve">Recommendations for the </w:t>
      </w:r>
      <w:r w:rsidR="00754290" w:rsidRPr="00845934">
        <w:rPr>
          <w:rFonts w:ascii="Times New Roman" w:hAnsi="Times New Roman" w:cs="Times New Roman"/>
          <w:b/>
          <w:sz w:val="24"/>
          <w:szCs w:val="24"/>
        </w:rPr>
        <w:t>F</w:t>
      </w:r>
      <w:r w:rsidRPr="00845934">
        <w:rPr>
          <w:rFonts w:ascii="Times New Roman" w:hAnsi="Times New Roman" w:cs="Times New Roman"/>
          <w:b/>
          <w:sz w:val="24"/>
          <w:szCs w:val="24"/>
        </w:rPr>
        <w:t xml:space="preserve">ollowing </w:t>
      </w:r>
      <w:r w:rsidR="00754290" w:rsidRPr="00845934">
        <w:rPr>
          <w:rFonts w:ascii="Times New Roman" w:hAnsi="Times New Roman" w:cs="Times New Roman"/>
          <w:b/>
          <w:sz w:val="24"/>
          <w:szCs w:val="24"/>
        </w:rPr>
        <w:t>A</w:t>
      </w:r>
      <w:r w:rsidRPr="00845934">
        <w:rPr>
          <w:rFonts w:ascii="Times New Roman" w:hAnsi="Times New Roman" w:cs="Times New Roman"/>
          <w:b/>
          <w:sz w:val="24"/>
          <w:szCs w:val="24"/>
        </w:rPr>
        <w:t>ctions;</w:t>
      </w:r>
    </w:p>
    <w:p w14:paraId="742920AA" w14:textId="77777777" w:rsidR="00754290" w:rsidRPr="00845934" w:rsidRDefault="00754290" w:rsidP="00845934">
      <w:pPr>
        <w:spacing w:line="480" w:lineRule="auto"/>
        <w:rPr>
          <w:rFonts w:ascii="Times New Roman" w:hAnsi="Times New Roman" w:cs="Times New Roman"/>
          <w:b/>
          <w:sz w:val="24"/>
          <w:szCs w:val="24"/>
        </w:rPr>
      </w:pPr>
      <w:r w:rsidRPr="00845934">
        <w:rPr>
          <w:rFonts w:ascii="Times New Roman" w:hAnsi="Times New Roman" w:cs="Times New Roman"/>
          <w:b/>
          <w:sz w:val="24"/>
          <w:szCs w:val="24"/>
        </w:rPr>
        <w:t>Leadership Model Change</w:t>
      </w:r>
    </w:p>
    <w:p w14:paraId="7D56B697" w14:textId="77777777" w:rsidR="00B048DF" w:rsidRDefault="00754290"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 xml:space="preserve">Ostensibly, the paper considers four recommendations that can be utilized by ADT to achieve changes in the leadership model. First, </w:t>
      </w:r>
      <w:r w:rsidR="003A5E64" w:rsidRPr="00845934">
        <w:rPr>
          <w:rFonts w:ascii="Times New Roman" w:hAnsi="Times New Roman" w:cs="Times New Roman"/>
          <w:sz w:val="24"/>
          <w:szCs w:val="24"/>
        </w:rPr>
        <w:t xml:space="preserve">leaders should strongly adhere to the policies and procedures. In addition, effective leaders have a tendency of understanding their accountability, particularly, to people in the authority.  In fact, they need to put their work priorities inline with company’s goal as well as having a better captivity of self-importance. Second, intensive commitment. In this context, </w:t>
      </w:r>
      <w:r w:rsidR="00FF624F" w:rsidRPr="00845934">
        <w:rPr>
          <w:rFonts w:ascii="Times New Roman" w:hAnsi="Times New Roman" w:cs="Times New Roman"/>
          <w:sz w:val="24"/>
          <w:szCs w:val="24"/>
        </w:rPr>
        <w:t xml:space="preserve">an effective leader commits his/her capabilities in leading others, conceptualizing challenging situations as well as performing technical skills. </w:t>
      </w:r>
    </w:p>
    <w:p w14:paraId="68D72280" w14:textId="361C78E5" w:rsidR="00754290" w:rsidRPr="00845934" w:rsidRDefault="00FF624F"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 xml:space="preserve">Third, leaders should expect conflicts. Under the working environment, people should understand that conflict is inevitable and constant that arise when they interact. Therefore, </w:t>
      </w:r>
      <w:r w:rsidRPr="00845934">
        <w:rPr>
          <w:rFonts w:ascii="Times New Roman" w:hAnsi="Times New Roman" w:cs="Times New Roman"/>
          <w:sz w:val="24"/>
          <w:szCs w:val="24"/>
        </w:rPr>
        <w:lastRenderedPageBreak/>
        <w:t>leaders should have the ability to manage it productively. Lastly, leaders should listen attent</w:t>
      </w:r>
      <w:r w:rsidR="006403EE" w:rsidRPr="00845934">
        <w:rPr>
          <w:rFonts w:ascii="Times New Roman" w:hAnsi="Times New Roman" w:cs="Times New Roman"/>
          <w:sz w:val="24"/>
          <w:szCs w:val="24"/>
        </w:rPr>
        <w:t xml:space="preserve">ively. Communication plays a significant role to achieve not only interpersonal goals but also organizational goals. </w:t>
      </w:r>
    </w:p>
    <w:p w14:paraId="20537560" w14:textId="77777777" w:rsidR="006403EE" w:rsidRPr="00845934" w:rsidRDefault="006403EE" w:rsidP="00845934">
      <w:pPr>
        <w:spacing w:line="480" w:lineRule="auto"/>
        <w:rPr>
          <w:rFonts w:ascii="Times New Roman" w:hAnsi="Times New Roman" w:cs="Times New Roman"/>
          <w:b/>
          <w:sz w:val="24"/>
          <w:szCs w:val="24"/>
        </w:rPr>
      </w:pPr>
      <w:r w:rsidRPr="00845934">
        <w:rPr>
          <w:rFonts w:ascii="Times New Roman" w:hAnsi="Times New Roman" w:cs="Times New Roman"/>
          <w:b/>
          <w:sz w:val="24"/>
          <w:szCs w:val="24"/>
        </w:rPr>
        <w:t xml:space="preserve">Further Actions Needed to Align Operational Needs with Business Strategies </w:t>
      </w:r>
    </w:p>
    <w:p w14:paraId="763FEC4D" w14:textId="3093097E" w:rsidR="00B048DF" w:rsidRDefault="00C96FCB"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Since business exists in an environment that is dynamic whereby change is continual as well as evolution requirement to survive and thrive. Therefore, ADT can adopt the following actions in aligning its operational needs with business strategies. First, determining its strategic capabilities. In addition, the identification of the best capacities that support the desired result in terms of systems, talent and processes, help the organization in aligning choices, thus, product differentiation will be achieved</w:t>
      </w:r>
      <w:r w:rsidR="001853CC">
        <w:rPr>
          <w:rFonts w:ascii="Times New Roman" w:hAnsi="Times New Roman" w:cs="Times New Roman"/>
          <w:sz w:val="24"/>
          <w:szCs w:val="24"/>
        </w:rPr>
        <w:t xml:space="preserve"> (Yeow, Soh &amp; Hansen, 2018)</w:t>
      </w:r>
      <w:r w:rsidRPr="00845934">
        <w:rPr>
          <w:rFonts w:ascii="Times New Roman" w:hAnsi="Times New Roman" w:cs="Times New Roman"/>
          <w:sz w:val="24"/>
          <w:szCs w:val="24"/>
        </w:rPr>
        <w:t xml:space="preserve">. </w:t>
      </w:r>
    </w:p>
    <w:p w14:paraId="3CCA946E" w14:textId="7FE40247" w:rsidR="00835005" w:rsidRDefault="00C96FCB" w:rsidP="00B048DF">
      <w:pPr>
        <w:spacing w:line="480" w:lineRule="auto"/>
        <w:ind w:firstLine="720"/>
        <w:rPr>
          <w:rFonts w:ascii="Times New Roman" w:hAnsi="Times New Roman" w:cs="Times New Roman"/>
          <w:sz w:val="24"/>
          <w:szCs w:val="24"/>
        </w:rPr>
      </w:pPr>
      <w:r w:rsidRPr="00845934">
        <w:rPr>
          <w:rFonts w:ascii="Times New Roman" w:hAnsi="Times New Roman" w:cs="Times New Roman"/>
          <w:sz w:val="24"/>
          <w:szCs w:val="24"/>
        </w:rPr>
        <w:t xml:space="preserve">Second, using the strategic capacities </w:t>
      </w:r>
      <w:r w:rsidR="0022748B" w:rsidRPr="00845934">
        <w:rPr>
          <w:rFonts w:ascii="Times New Roman" w:hAnsi="Times New Roman" w:cs="Times New Roman"/>
          <w:sz w:val="24"/>
          <w:szCs w:val="24"/>
        </w:rPr>
        <w:t>for the purpose of differentiating the company. Moreover, ADT should vividly recognize a market segment that it can create, build as well as exploiting new capacities in strengthening a distinct positioning in the industrial market. Finally, ADT should be able to shift the resources willingly. In most cases, strategy pinpoints the future demands and alignment of the capabilities is based on the past</w:t>
      </w:r>
      <w:r w:rsidR="00845934" w:rsidRPr="00845934">
        <w:rPr>
          <w:rFonts w:ascii="Times New Roman" w:hAnsi="Times New Roman" w:cs="Times New Roman"/>
          <w:sz w:val="24"/>
          <w:szCs w:val="24"/>
        </w:rPr>
        <w:t>.</w:t>
      </w:r>
    </w:p>
    <w:p w14:paraId="48D6EE1B" w14:textId="77777777" w:rsidR="000B45C1" w:rsidRDefault="000B45C1" w:rsidP="00AA5ACC">
      <w:pPr>
        <w:spacing w:line="480" w:lineRule="auto"/>
        <w:ind w:firstLine="720"/>
        <w:jc w:val="center"/>
        <w:rPr>
          <w:rFonts w:ascii="Times New Roman" w:hAnsi="Times New Roman" w:cs="Times New Roman"/>
          <w:b/>
          <w:sz w:val="24"/>
          <w:szCs w:val="24"/>
        </w:rPr>
      </w:pPr>
    </w:p>
    <w:p w14:paraId="78796F6D" w14:textId="77777777" w:rsidR="000B45C1" w:rsidRDefault="000B45C1" w:rsidP="00AA5ACC">
      <w:pPr>
        <w:spacing w:line="480" w:lineRule="auto"/>
        <w:ind w:firstLine="720"/>
        <w:jc w:val="center"/>
        <w:rPr>
          <w:rFonts w:ascii="Times New Roman" w:hAnsi="Times New Roman" w:cs="Times New Roman"/>
          <w:b/>
          <w:sz w:val="24"/>
          <w:szCs w:val="24"/>
        </w:rPr>
      </w:pPr>
    </w:p>
    <w:p w14:paraId="65B49ED5" w14:textId="77777777" w:rsidR="000B45C1" w:rsidRDefault="000B45C1" w:rsidP="00AA5ACC">
      <w:pPr>
        <w:spacing w:line="480" w:lineRule="auto"/>
        <w:ind w:firstLine="720"/>
        <w:jc w:val="center"/>
        <w:rPr>
          <w:rFonts w:ascii="Times New Roman" w:hAnsi="Times New Roman" w:cs="Times New Roman"/>
          <w:b/>
          <w:sz w:val="24"/>
          <w:szCs w:val="24"/>
        </w:rPr>
      </w:pPr>
    </w:p>
    <w:p w14:paraId="5D3E437E" w14:textId="77777777" w:rsidR="000B45C1" w:rsidRDefault="000B45C1" w:rsidP="00AA5ACC">
      <w:pPr>
        <w:spacing w:line="480" w:lineRule="auto"/>
        <w:ind w:firstLine="720"/>
        <w:jc w:val="center"/>
        <w:rPr>
          <w:rFonts w:ascii="Times New Roman" w:hAnsi="Times New Roman" w:cs="Times New Roman"/>
          <w:b/>
          <w:sz w:val="24"/>
          <w:szCs w:val="24"/>
        </w:rPr>
      </w:pPr>
    </w:p>
    <w:p w14:paraId="38B02B1D" w14:textId="77777777" w:rsidR="000B45C1" w:rsidRDefault="000B45C1" w:rsidP="00AA5ACC">
      <w:pPr>
        <w:spacing w:line="480" w:lineRule="auto"/>
        <w:ind w:firstLine="720"/>
        <w:jc w:val="center"/>
        <w:rPr>
          <w:rFonts w:ascii="Times New Roman" w:hAnsi="Times New Roman" w:cs="Times New Roman"/>
          <w:b/>
          <w:sz w:val="24"/>
          <w:szCs w:val="24"/>
        </w:rPr>
      </w:pPr>
    </w:p>
    <w:p w14:paraId="5972D86B" w14:textId="77777777" w:rsidR="000B45C1" w:rsidRDefault="000B45C1" w:rsidP="00AA5ACC">
      <w:pPr>
        <w:spacing w:line="480" w:lineRule="auto"/>
        <w:ind w:firstLine="720"/>
        <w:jc w:val="center"/>
        <w:rPr>
          <w:rFonts w:ascii="Times New Roman" w:hAnsi="Times New Roman" w:cs="Times New Roman"/>
          <w:b/>
          <w:sz w:val="24"/>
          <w:szCs w:val="24"/>
        </w:rPr>
      </w:pPr>
    </w:p>
    <w:p w14:paraId="693847D0" w14:textId="102CC7BA" w:rsidR="007D782C" w:rsidRPr="00AA5ACC" w:rsidRDefault="007D782C" w:rsidP="00AA5ACC">
      <w:pPr>
        <w:spacing w:line="480" w:lineRule="auto"/>
        <w:ind w:firstLine="720"/>
        <w:jc w:val="center"/>
        <w:rPr>
          <w:rFonts w:ascii="Times New Roman" w:hAnsi="Times New Roman" w:cs="Times New Roman"/>
          <w:b/>
          <w:sz w:val="24"/>
          <w:szCs w:val="24"/>
        </w:rPr>
      </w:pPr>
      <w:r w:rsidRPr="00AA5ACC">
        <w:rPr>
          <w:rFonts w:ascii="Times New Roman" w:hAnsi="Times New Roman" w:cs="Times New Roman"/>
          <w:b/>
          <w:sz w:val="24"/>
          <w:szCs w:val="24"/>
        </w:rPr>
        <w:lastRenderedPageBreak/>
        <w:t>References</w:t>
      </w:r>
    </w:p>
    <w:p w14:paraId="20F6DB80" w14:textId="714264CD" w:rsidR="007D782C" w:rsidRDefault="007D782C" w:rsidP="00AA5AC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Carraher, M. (2018). An Examination of an Instrument to Measure Porter’s Five Forces Model. </w:t>
      </w:r>
      <w:r w:rsidRPr="00AA5ACC">
        <w:rPr>
          <w:rFonts w:ascii="Times New Roman" w:hAnsi="Times New Roman" w:cs="Times New Roman"/>
          <w:i/>
          <w:sz w:val="24"/>
          <w:szCs w:val="24"/>
        </w:rPr>
        <w:t>International Journal of Arts &amp; Sciences Conference at Harvard University.</w:t>
      </w:r>
    </w:p>
    <w:p w14:paraId="23719995" w14:textId="77777777" w:rsidR="00AA5ACC" w:rsidRDefault="00AA5ACC" w:rsidP="00AA5AC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Boudreaux, C.J. (2020). The Importance of Industry to Strategic Entrepreneurship: Evidence from the Kauffman Firm Survey. </w:t>
      </w:r>
      <w:r w:rsidRPr="00AA5ACC">
        <w:rPr>
          <w:rFonts w:ascii="Times New Roman" w:hAnsi="Times New Roman" w:cs="Times New Roman"/>
          <w:i/>
          <w:sz w:val="24"/>
          <w:szCs w:val="24"/>
        </w:rPr>
        <w:t>Journal of Industry, Competition and Trade</w:t>
      </w:r>
      <w:r>
        <w:rPr>
          <w:rFonts w:ascii="Times New Roman" w:hAnsi="Times New Roman" w:cs="Times New Roman"/>
          <w:sz w:val="24"/>
          <w:szCs w:val="24"/>
        </w:rPr>
        <w:t>, 20, 93-114.</w:t>
      </w:r>
    </w:p>
    <w:p w14:paraId="1B220A6E" w14:textId="049AB316" w:rsidR="007D782C" w:rsidRDefault="00AA5ACC" w:rsidP="00AA5AC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Cheong, M., Yammarino, F.J. &amp; Tsai, C. (2019). A Review of the Effectiveness of Empowering Leadership. </w:t>
      </w:r>
      <w:r w:rsidRPr="00AA5ACC">
        <w:rPr>
          <w:rFonts w:ascii="Times New Roman" w:hAnsi="Times New Roman" w:cs="Times New Roman"/>
          <w:i/>
          <w:sz w:val="24"/>
          <w:szCs w:val="24"/>
        </w:rPr>
        <w:t>The Leadership Quaterly</w:t>
      </w:r>
      <w:r>
        <w:rPr>
          <w:rFonts w:ascii="Times New Roman" w:hAnsi="Times New Roman" w:cs="Times New Roman"/>
          <w:sz w:val="24"/>
          <w:szCs w:val="24"/>
        </w:rPr>
        <w:t xml:space="preserve"> 30 (1), 34-58. </w:t>
      </w:r>
    </w:p>
    <w:p w14:paraId="3DD4F7A2" w14:textId="4BD4122F" w:rsidR="00AA5ACC" w:rsidRPr="00845934" w:rsidRDefault="00AA5ACC" w:rsidP="00AA5AC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Yeow, A., Soh, C. &amp; Hansen, R. (2018). Aligning with New Digital Strategy: A Dynamic Capabilities Approach. </w:t>
      </w:r>
      <w:r w:rsidRPr="00AA5ACC">
        <w:rPr>
          <w:rFonts w:ascii="Times New Roman" w:hAnsi="Times New Roman" w:cs="Times New Roman"/>
          <w:i/>
          <w:sz w:val="24"/>
          <w:szCs w:val="24"/>
        </w:rPr>
        <w:t>The Journal of Strategic Information Systems</w:t>
      </w:r>
      <w:r>
        <w:rPr>
          <w:rFonts w:ascii="Times New Roman" w:hAnsi="Times New Roman" w:cs="Times New Roman"/>
          <w:sz w:val="24"/>
          <w:szCs w:val="24"/>
        </w:rPr>
        <w:t>, 27 (1),43-58.</w:t>
      </w:r>
    </w:p>
    <w:sectPr w:rsidR="00AA5ACC" w:rsidRPr="00845934" w:rsidSect="000B45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D5E38" w14:textId="77777777" w:rsidR="00815980" w:rsidRDefault="00815980" w:rsidP="001853CC">
      <w:pPr>
        <w:spacing w:after="0" w:line="240" w:lineRule="auto"/>
      </w:pPr>
      <w:r>
        <w:separator/>
      </w:r>
    </w:p>
  </w:endnote>
  <w:endnote w:type="continuationSeparator" w:id="0">
    <w:p w14:paraId="68619D7E" w14:textId="77777777" w:rsidR="00815980" w:rsidRDefault="00815980" w:rsidP="00185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B6781" w14:textId="77777777" w:rsidR="00815980" w:rsidRDefault="00815980" w:rsidP="001853CC">
      <w:pPr>
        <w:spacing w:after="0" w:line="240" w:lineRule="auto"/>
      </w:pPr>
      <w:r>
        <w:separator/>
      </w:r>
    </w:p>
  </w:footnote>
  <w:footnote w:type="continuationSeparator" w:id="0">
    <w:p w14:paraId="08E18762" w14:textId="77777777" w:rsidR="00815980" w:rsidRDefault="00815980" w:rsidP="001853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59049" w14:textId="301CD2A9" w:rsidR="000B45C1" w:rsidRDefault="000B45C1" w:rsidP="000B45C1">
    <w:pPr>
      <w:pStyle w:val="Header"/>
    </w:pPr>
    <w:r>
      <w:t xml:space="preserve">ADT  ANALYSIS                                                                                                                                                              </w:t>
    </w:r>
    <w:sdt>
      <w:sdtPr>
        <w:id w:val="19219861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09442CF6" w14:textId="77777777" w:rsidR="001853CC" w:rsidRDefault="00185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2125F" w14:textId="785C5615" w:rsidR="000B45C1" w:rsidRDefault="000B45C1" w:rsidP="000B45C1">
    <w:pPr>
      <w:pStyle w:val="Header"/>
    </w:pPr>
    <w:r>
      <w:t>Running head:</w:t>
    </w:r>
    <w:r w:rsidRPr="000B45C1">
      <w:t xml:space="preserve"> </w:t>
    </w:r>
    <w:r>
      <w:t xml:space="preserve">                                                     </w:t>
    </w:r>
    <w:r>
      <w:t xml:space="preserve">ADT </w:t>
    </w:r>
    <w:r>
      <w:t xml:space="preserve"> </w:t>
    </w:r>
    <w:r>
      <w:t xml:space="preserve"> ANALYSIS </w:t>
    </w:r>
    <w:r>
      <w:t xml:space="preserve">                                                                             </w:t>
    </w:r>
    <w:sdt>
      <w:sdtPr>
        <w:id w:val="14315466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C65D2CB" w14:textId="77777777" w:rsidR="000B45C1" w:rsidRDefault="000B45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BF7"/>
    <w:rsid w:val="00013ADB"/>
    <w:rsid w:val="000B45C1"/>
    <w:rsid w:val="001853CC"/>
    <w:rsid w:val="0022748B"/>
    <w:rsid w:val="002C4E11"/>
    <w:rsid w:val="003A5E64"/>
    <w:rsid w:val="003B17B5"/>
    <w:rsid w:val="00446BF7"/>
    <w:rsid w:val="006403EE"/>
    <w:rsid w:val="00647DE1"/>
    <w:rsid w:val="00713FA7"/>
    <w:rsid w:val="007235F3"/>
    <w:rsid w:val="00754290"/>
    <w:rsid w:val="007D30DA"/>
    <w:rsid w:val="007D61F2"/>
    <w:rsid w:val="007D782C"/>
    <w:rsid w:val="00815980"/>
    <w:rsid w:val="00835005"/>
    <w:rsid w:val="00845934"/>
    <w:rsid w:val="00A10FDA"/>
    <w:rsid w:val="00A87341"/>
    <w:rsid w:val="00AA5ACC"/>
    <w:rsid w:val="00B048DF"/>
    <w:rsid w:val="00C96FCB"/>
    <w:rsid w:val="00D97B20"/>
    <w:rsid w:val="00FF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3CC"/>
  </w:style>
  <w:style w:type="paragraph" w:styleId="Footer">
    <w:name w:val="footer"/>
    <w:basedOn w:val="Normal"/>
    <w:link w:val="FooterChar"/>
    <w:uiPriority w:val="99"/>
    <w:unhideWhenUsed/>
    <w:rsid w:val="00185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3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3CC"/>
  </w:style>
  <w:style w:type="paragraph" w:styleId="Footer">
    <w:name w:val="footer"/>
    <w:basedOn w:val="Normal"/>
    <w:link w:val="FooterChar"/>
    <w:uiPriority w:val="99"/>
    <w:unhideWhenUsed/>
    <w:rsid w:val="00185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2020-03-19T13:35:00Z</dcterms:created>
  <dcterms:modified xsi:type="dcterms:W3CDTF">2020-03-19T13:35:00Z</dcterms:modified>
</cp:coreProperties>
</file>